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2" w:beforeAutospacing="0" w:after="0" w:afterAutospacing="0"/>
        <w:ind w:left="0" w:right="0" w:firstLine="0"/>
        <w:jc w:val="center"/>
        <w:textAlignment w:val="baseline"/>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000000"/>
          <w:spacing w:val="-5"/>
          <w:kern w:val="0"/>
          <w:sz w:val="28"/>
          <w:szCs w:val="28"/>
          <w:bdr w:val="none" w:color="auto" w:sz="0" w:space="0"/>
          <w:shd w:val="clear" w:fill="FFFFFF"/>
          <w:vertAlign w:val="baseline"/>
          <w:lang w:val="en-US" w:eastAsia="zh-CN" w:bidi="ar"/>
        </w:rPr>
        <w:t>附件</w:t>
      </w:r>
      <w:r>
        <w:rPr>
          <w:rFonts w:hint="eastAsia" w:ascii="宋体" w:hAnsi="宋体" w:eastAsia="宋体" w:cs="宋体"/>
          <w:i w:val="0"/>
          <w:iCs w:val="0"/>
          <w:caps w:val="0"/>
          <w:color w:val="000000"/>
          <w:spacing w:val="-5"/>
          <w:kern w:val="0"/>
          <w:sz w:val="28"/>
          <w:szCs w:val="28"/>
          <w:bdr w:val="none" w:color="auto" w:sz="0" w:space="0"/>
          <w:shd w:val="clear" w:fill="FFFFFF"/>
          <w:vertAlign w:val="baseline"/>
          <w:lang w:val="en-US" w:eastAsia="zh-CN" w:bidi="ar"/>
        </w:rPr>
        <w:t>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湖南省教师资格认定体检表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 w:firstLine="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                                            第      号</w:t>
      </w:r>
    </w:p>
    <w:tbl>
      <w:tblPr>
        <w:tblW w:w="91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84"/>
        <w:gridCol w:w="618"/>
        <w:gridCol w:w="625"/>
        <w:gridCol w:w="198"/>
        <w:gridCol w:w="64"/>
        <w:gridCol w:w="681"/>
        <w:gridCol w:w="81"/>
        <w:gridCol w:w="81"/>
        <w:gridCol w:w="64"/>
        <w:gridCol w:w="575"/>
        <w:gridCol w:w="595"/>
        <w:gridCol w:w="264"/>
        <w:gridCol w:w="20"/>
        <w:gridCol w:w="28"/>
        <w:gridCol w:w="7"/>
        <w:gridCol w:w="53"/>
        <w:gridCol w:w="238"/>
        <w:gridCol w:w="426"/>
        <w:gridCol w:w="288"/>
        <w:gridCol w:w="234"/>
        <w:gridCol w:w="87"/>
        <w:gridCol w:w="359"/>
        <w:gridCol w:w="237"/>
        <w:gridCol w:w="117"/>
        <w:gridCol w:w="1367"/>
        <w:gridCol w:w="13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75" w:hRule="atLeast"/>
          <w:jc w:val="center"/>
        </w:trPr>
        <w:tc>
          <w:tcPr>
            <w:tcW w:w="1102" w:type="dxa"/>
            <w:gridSpan w:val="2"/>
            <w:tcBorders>
              <w:top w:val="single" w:color="auto" w:sz="8" w:space="0"/>
              <w:left w:val="single" w:color="auto" w:sz="8" w:space="0"/>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姓    名</w:t>
            </w:r>
          </w:p>
        </w:tc>
        <w:tc>
          <w:tcPr>
            <w:tcW w:w="887"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762"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性别</w:t>
            </w:r>
          </w:p>
        </w:tc>
        <w:tc>
          <w:tcPr>
            <w:tcW w:w="7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859" w:type="dxa"/>
            <w:gridSpan w:val="2"/>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婚否</w:t>
            </w:r>
          </w:p>
        </w:tc>
        <w:tc>
          <w:tcPr>
            <w:tcW w:w="772" w:type="dxa"/>
            <w:gridSpan w:val="6"/>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609"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民族</w:t>
            </w:r>
          </w:p>
        </w:tc>
        <w:tc>
          <w:tcPr>
            <w:tcW w:w="59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半身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脱帽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正面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相片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85" w:hRule="atLeast"/>
          <w:jc w:val="center"/>
        </w:trPr>
        <w:tc>
          <w:tcPr>
            <w:tcW w:w="110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出生年月</w:t>
            </w:r>
          </w:p>
        </w:tc>
        <w:tc>
          <w:tcPr>
            <w:tcW w:w="88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身份证号</w:t>
            </w:r>
          </w:p>
        </w:tc>
        <w:tc>
          <w:tcPr>
            <w:tcW w:w="3556" w:type="dxa"/>
            <w:gridSpan w:val="16"/>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85" w:hRule="atLeast"/>
          <w:jc w:val="center"/>
        </w:trPr>
        <w:tc>
          <w:tcPr>
            <w:tcW w:w="110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最高学历</w:t>
            </w:r>
          </w:p>
        </w:tc>
        <w:tc>
          <w:tcPr>
            <w:tcW w:w="88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工作单位</w:t>
            </w:r>
          </w:p>
        </w:tc>
        <w:tc>
          <w:tcPr>
            <w:tcW w:w="1579"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772" w:type="dxa"/>
            <w:gridSpan w:val="6"/>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户籍所在地</w:t>
            </w:r>
          </w:p>
        </w:tc>
        <w:tc>
          <w:tcPr>
            <w:tcW w:w="120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94" w:hRule="atLeast"/>
          <w:jc w:val="center"/>
        </w:trPr>
        <w:tc>
          <w:tcPr>
            <w:tcW w:w="110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现住所及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通讯地址</w:t>
            </w:r>
          </w:p>
        </w:tc>
        <w:tc>
          <w:tcPr>
            <w:tcW w:w="3228"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772"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申请资格种类</w:t>
            </w:r>
          </w:p>
        </w:tc>
        <w:tc>
          <w:tcPr>
            <w:tcW w:w="1205"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1320" w:hRule="atLeast"/>
          <w:jc w:val="center"/>
        </w:trPr>
        <w:tc>
          <w:tcPr>
            <w:tcW w:w="3471"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既往病史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（须明确标明肝炎、结核、皮肤病、性传播疾病、精神病、其他，并受检者确认签字）</w:t>
            </w:r>
          </w:p>
        </w:tc>
        <w:tc>
          <w:tcPr>
            <w:tcW w:w="5697" w:type="dxa"/>
            <w:gridSpan w:val="16"/>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                            受检者签名：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85" w:hRule="atLeast"/>
          <w:jc w:val="center"/>
        </w:trPr>
        <w:tc>
          <w:tcPr>
            <w:tcW w:w="172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家族病史</w:t>
            </w:r>
          </w:p>
        </w:tc>
        <w:tc>
          <w:tcPr>
            <w:tcW w:w="7441" w:type="dxa"/>
            <w:gridSpan w:val="2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37" w:hRule="atLeast"/>
          <w:jc w:val="center"/>
        </w:trPr>
        <w:tc>
          <w:tcPr>
            <w:tcW w:w="4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科</w:t>
            </w:r>
          </w:p>
        </w:tc>
        <w:tc>
          <w:tcPr>
            <w:tcW w:w="61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眼</w:t>
            </w:r>
          </w:p>
        </w:tc>
        <w:tc>
          <w:tcPr>
            <w:tcW w:w="887" w:type="dxa"/>
            <w:gridSpan w:val="3"/>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视力</w:t>
            </w:r>
          </w:p>
        </w:tc>
        <w:tc>
          <w:tcPr>
            <w:tcW w:w="762"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右</w:t>
            </w:r>
          </w:p>
        </w:tc>
        <w:tc>
          <w:tcPr>
            <w:tcW w:w="1315" w:type="dxa"/>
            <w:gridSpan w:val="4"/>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矫正视力</w:t>
            </w:r>
          </w:p>
        </w:tc>
        <w:tc>
          <w:tcPr>
            <w:tcW w:w="1324" w:type="dxa"/>
            <w:gridSpan w:val="8"/>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右</w:t>
            </w:r>
          </w:p>
        </w:tc>
        <w:tc>
          <w:tcPr>
            <w:tcW w:w="321" w:type="dxa"/>
            <w:gridSpan w:val="2"/>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辨色力</w:t>
            </w:r>
          </w:p>
        </w:tc>
        <w:tc>
          <w:tcPr>
            <w:tcW w:w="596" w:type="dxa"/>
            <w:gridSpan w:val="2"/>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医师意见：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24"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887" w:type="dxa"/>
            <w:gridSpan w:val="3"/>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左</w:t>
            </w:r>
          </w:p>
        </w:tc>
        <w:tc>
          <w:tcPr>
            <w:tcW w:w="1315" w:type="dxa"/>
            <w:gridSpan w:val="4"/>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324" w:type="dxa"/>
            <w:gridSpan w:val="8"/>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左</w:t>
            </w:r>
          </w:p>
        </w:tc>
        <w:tc>
          <w:tcPr>
            <w:tcW w:w="321" w:type="dxa"/>
            <w:gridSpan w:val="2"/>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596" w:type="dxa"/>
            <w:gridSpan w:val="2"/>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00"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887" w:type="dxa"/>
            <w:gridSpan w:val="3"/>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砂眼</w:t>
            </w: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右</w:t>
            </w:r>
          </w:p>
        </w:tc>
        <w:tc>
          <w:tcPr>
            <w:tcW w:w="1315" w:type="dxa"/>
            <w:gridSpan w:val="4"/>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眼疾</w:t>
            </w:r>
          </w:p>
        </w:tc>
        <w:tc>
          <w:tcPr>
            <w:tcW w:w="2241" w:type="dxa"/>
            <w:gridSpan w:val="1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552"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887"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左</w:t>
            </w:r>
          </w:p>
        </w:tc>
        <w:tc>
          <w:tcPr>
            <w:tcW w:w="1315" w:type="dxa"/>
            <w:gridSpan w:val="4"/>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2241" w:type="dxa"/>
            <w:gridSpan w:val="1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99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耳</w:t>
            </w:r>
          </w:p>
        </w:tc>
        <w:tc>
          <w:tcPr>
            <w:tcW w:w="887" w:type="dxa"/>
            <w:gridSpan w:val="3"/>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听力</w:t>
            </w: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右　  　公尺</w:t>
            </w:r>
          </w:p>
        </w:tc>
        <w:tc>
          <w:tcPr>
            <w:tcW w:w="1315" w:type="dxa"/>
            <w:gridSpan w:val="4"/>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耳疾</w:t>
            </w:r>
          </w:p>
        </w:tc>
        <w:tc>
          <w:tcPr>
            <w:tcW w:w="2241" w:type="dxa"/>
            <w:gridSpan w:val="1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99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887"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左　　  公尺</w:t>
            </w:r>
          </w:p>
        </w:tc>
        <w:tc>
          <w:tcPr>
            <w:tcW w:w="1315" w:type="dxa"/>
            <w:gridSpan w:val="4"/>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2241" w:type="dxa"/>
            <w:gridSpan w:val="1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8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鼻</w:t>
            </w:r>
          </w:p>
        </w:tc>
        <w:tc>
          <w:tcPr>
            <w:tcW w:w="88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嗅觉</w:t>
            </w:r>
          </w:p>
        </w:tc>
        <w:tc>
          <w:tcPr>
            <w:tcW w:w="76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315"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鼻及鼻窦疾病</w:t>
            </w:r>
          </w:p>
        </w:tc>
        <w:tc>
          <w:tcPr>
            <w:tcW w:w="2241" w:type="dxa"/>
            <w:gridSpan w:val="1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1340"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咽喉</w:t>
            </w:r>
          </w:p>
        </w:tc>
        <w:tc>
          <w:tcPr>
            <w:tcW w:w="1649"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315"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唇腭</w:t>
            </w:r>
          </w:p>
        </w:tc>
        <w:tc>
          <w:tcPr>
            <w:tcW w:w="2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381" w:type="dxa"/>
            <w:gridSpan w:val="9"/>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口吃</w:t>
            </w:r>
          </w:p>
        </w:tc>
        <w:tc>
          <w:tcPr>
            <w:tcW w:w="59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6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齿</w:t>
            </w:r>
          </w:p>
        </w:tc>
        <w:tc>
          <w:tcPr>
            <w:tcW w:w="82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745" w:type="dxa"/>
            <w:gridSpan w:val="2"/>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龋齿</w:t>
            </w:r>
          </w:p>
        </w:tc>
        <w:tc>
          <w:tcPr>
            <w:tcW w:w="80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9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缺齿</w:t>
            </w:r>
          </w:p>
        </w:tc>
        <w:tc>
          <w:tcPr>
            <w:tcW w:w="23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748"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齿槽脓漏</w:t>
            </w:r>
          </w:p>
        </w:tc>
        <w:tc>
          <w:tcPr>
            <w:tcW w:w="13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377" w:type="dxa"/>
            <w:tcBorders>
              <w:top w:val="single" w:color="auto" w:sz="8" w:space="0"/>
              <w:left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8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其他</w:t>
            </w:r>
          </w:p>
        </w:tc>
        <w:tc>
          <w:tcPr>
            <w:tcW w:w="4580" w:type="dxa"/>
            <w:gridSpan w:val="20"/>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tcBorders>
              <w:top w:val="single" w:color="auto" w:sz="8" w:space="0"/>
              <w:left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685" w:hRule="atLeast"/>
          <w:jc w:val="center"/>
        </w:trPr>
        <w:tc>
          <w:tcPr>
            <w:tcW w:w="4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科</w:t>
            </w:r>
          </w:p>
        </w:tc>
        <w:tc>
          <w:tcPr>
            <w:tcW w:w="124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身高</w:t>
            </w:r>
          </w:p>
        </w:tc>
        <w:tc>
          <w:tcPr>
            <w:tcW w:w="1105"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cm</w:t>
            </w:r>
          </w:p>
        </w:tc>
        <w:tc>
          <w:tcPr>
            <w:tcW w:w="63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胸围</w:t>
            </w:r>
          </w:p>
        </w:tc>
        <w:tc>
          <w:tcPr>
            <w:tcW w:w="85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cm</w:t>
            </w:r>
          </w:p>
        </w:tc>
        <w:tc>
          <w:tcPr>
            <w:tcW w:w="1740" w:type="dxa"/>
            <w:gridSpan w:val="10"/>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皮肤</w:t>
            </w:r>
          </w:p>
        </w:tc>
        <w:tc>
          <w:tcPr>
            <w:tcW w:w="237"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医师意见：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2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体重</w:t>
            </w:r>
          </w:p>
        </w:tc>
        <w:tc>
          <w:tcPr>
            <w:tcW w:w="1105"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kg</w:t>
            </w:r>
          </w:p>
        </w:tc>
        <w:tc>
          <w:tcPr>
            <w:tcW w:w="63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呼吸差</w:t>
            </w:r>
          </w:p>
        </w:tc>
        <w:tc>
          <w:tcPr>
            <w:tcW w:w="85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cm</w:t>
            </w:r>
          </w:p>
        </w:tc>
        <w:tc>
          <w:tcPr>
            <w:tcW w:w="1740" w:type="dxa"/>
            <w:gridSpan w:val="10"/>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23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2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淋巴</w:t>
            </w:r>
          </w:p>
        </w:tc>
        <w:tc>
          <w:tcPr>
            <w:tcW w:w="1105"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63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甲状腺</w:t>
            </w:r>
          </w:p>
        </w:tc>
        <w:tc>
          <w:tcPr>
            <w:tcW w:w="85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740"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脊柱</w:t>
            </w:r>
          </w:p>
        </w:tc>
        <w:tc>
          <w:tcPr>
            <w:tcW w:w="2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25"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四肢</w:t>
            </w:r>
          </w:p>
        </w:tc>
        <w:tc>
          <w:tcPr>
            <w:tcW w:w="1105"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63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关节</w:t>
            </w:r>
          </w:p>
        </w:tc>
        <w:tc>
          <w:tcPr>
            <w:tcW w:w="85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740" w:type="dxa"/>
            <w:gridSpan w:val="10"/>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平嗻足</w:t>
            </w:r>
          </w:p>
        </w:tc>
        <w:tc>
          <w:tcPr>
            <w:tcW w:w="2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3"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泌尿生殖器</w:t>
            </w:r>
          </w:p>
        </w:tc>
        <w:tc>
          <w:tcPr>
            <w:tcW w:w="2603" w:type="dxa"/>
            <w:gridSpan w:val="9"/>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740"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肛门</w:t>
            </w:r>
          </w:p>
        </w:tc>
        <w:tc>
          <w:tcPr>
            <w:tcW w:w="2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3"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疝</w:t>
            </w:r>
          </w:p>
        </w:tc>
        <w:tc>
          <w:tcPr>
            <w:tcW w:w="1744"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85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其他</w:t>
            </w:r>
          </w:p>
        </w:tc>
        <w:tc>
          <w:tcPr>
            <w:tcW w:w="1977"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2" w:hRule="atLeast"/>
          <w:jc w:val="center"/>
        </w:trPr>
        <w:tc>
          <w:tcPr>
            <w:tcW w:w="4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w:t>
            </w:r>
          </w:p>
        </w:tc>
        <w:tc>
          <w:tcPr>
            <w:tcW w:w="12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血压</w:t>
            </w:r>
          </w:p>
        </w:tc>
        <w:tc>
          <w:tcPr>
            <w:tcW w:w="2651" w:type="dxa"/>
            <w:gridSpan w:val="11"/>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         毫米汞柱</w:t>
            </w:r>
          </w:p>
        </w:tc>
        <w:tc>
          <w:tcPr>
            <w:tcW w:w="1246"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脉搏</w:t>
            </w:r>
          </w:p>
        </w:tc>
        <w:tc>
          <w:tcPr>
            <w:tcW w:w="683"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医师意见：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2"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发育及营养状况</w:t>
            </w:r>
          </w:p>
        </w:tc>
        <w:tc>
          <w:tcPr>
            <w:tcW w:w="2658" w:type="dxa"/>
            <w:gridSpan w:val="1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239"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神经及精神</w:t>
            </w:r>
          </w:p>
        </w:tc>
        <w:tc>
          <w:tcPr>
            <w:tcW w:w="683"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2"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肺及呼吸道</w:t>
            </w:r>
          </w:p>
        </w:tc>
        <w:tc>
          <w:tcPr>
            <w:tcW w:w="2658" w:type="dxa"/>
            <w:gridSpan w:val="1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239"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心脏及血管</w:t>
            </w:r>
          </w:p>
        </w:tc>
        <w:tc>
          <w:tcPr>
            <w:tcW w:w="683"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2"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腹部器官</w:t>
            </w:r>
          </w:p>
        </w:tc>
        <w:tc>
          <w:tcPr>
            <w:tcW w:w="1024" w:type="dxa"/>
            <w:gridSpan w:val="4"/>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579"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肝</w:t>
            </w:r>
          </w:p>
        </w:tc>
        <w:tc>
          <w:tcPr>
            <w:tcW w:w="1977" w:type="dxa"/>
            <w:gridSpan w:val="11"/>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2"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024" w:type="dxa"/>
            <w:gridSpan w:val="4"/>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579" w:type="dxa"/>
            <w:gridSpan w:val="5"/>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脾</w:t>
            </w:r>
          </w:p>
        </w:tc>
        <w:tc>
          <w:tcPr>
            <w:tcW w:w="1977" w:type="dxa"/>
            <w:gridSpan w:val="11"/>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52" w:hRule="atLeast"/>
          <w:jc w:val="center"/>
        </w:trPr>
        <w:tc>
          <w:tcPr>
            <w:tcW w:w="4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2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其他</w:t>
            </w:r>
          </w:p>
        </w:tc>
        <w:tc>
          <w:tcPr>
            <w:tcW w:w="4580" w:type="dxa"/>
            <w:gridSpan w:val="20"/>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75" w:hRule="atLeast"/>
          <w:jc w:val="center"/>
        </w:trPr>
        <w:tc>
          <w:tcPr>
            <w:tcW w:w="1727" w:type="dxa"/>
            <w:gridSpan w:val="3"/>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认定幼儿园教师资格人员必填</w:t>
            </w:r>
          </w:p>
        </w:tc>
        <w:tc>
          <w:tcPr>
            <w:tcW w:w="1169"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淋球菌</w:t>
            </w:r>
          </w:p>
        </w:tc>
        <w:tc>
          <w:tcPr>
            <w:tcW w:w="1454"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957"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滴虫</w:t>
            </w:r>
          </w:p>
        </w:tc>
        <w:tc>
          <w:tcPr>
            <w:tcW w:w="286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After w:w="0" w:type="auto"/>
          <w:trHeight w:val="738" w:hRule="atLeast"/>
          <w:jc w:val="center"/>
        </w:trPr>
        <w:tc>
          <w:tcPr>
            <w:tcW w:w="1727"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iCs w:val="0"/>
                <w:caps w:val="0"/>
                <w:color w:val="444444"/>
                <w:spacing w:val="0"/>
                <w:sz w:val="18"/>
                <w:szCs w:val="18"/>
              </w:rPr>
            </w:pPr>
          </w:p>
        </w:tc>
        <w:tc>
          <w:tcPr>
            <w:tcW w:w="1169"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梅毒螺旋体</w:t>
            </w:r>
          </w:p>
        </w:tc>
        <w:tc>
          <w:tcPr>
            <w:tcW w:w="1454"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1957"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外阴阴道假丝酵母菌（念球菌）</w:t>
            </w:r>
          </w:p>
        </w:tc>
        <w:tc>
          <w:tcPr>
            <w:tcW w:w="2861"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After w:w="0" w:type="auto"/>
          <w:trHeight w:val="1752" w:hRule="atLeast"/>
          <w:jc w:val="center"/>
        </w:trPr>
        <w:tc>
          <w:tcPr>
            <w:tcW w:w="172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化验检查</w:t>
            </w:r>
          </w:p>
        </w:tc>
        <w:tc>
          <w:tcPr>
            <w:tcW w:w="7441" w:type="dxa"/>
            <w:gridSpan w:val="2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         贴肝功能化验单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化验员（签章）：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wAfter w:w="0" w:type="auto"/>
          <w:trHeight w:val="1752" w:hRule="atLeast"/>
          <w:jc w:val="center"/>
        </w:trPr>
        <w:tc>
          <w:tcPr>
            <w:tcW w:w="172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胸部爱克斯线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透　　视</w:t>
            </w:r>
          </w:p>
        </w:tc>
        <w:tc>
          <w:tcPr>
            <w:tcW w:w="7441" w:type="dxa"/>
            <w:gridSpan w:val="2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 医师（签章）：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After w:w="0" w:type="auto"/>
          <w:trHeight w:val="1051" w:hRule="atLeast"/>
          <w:jc w:val="center"/>
        </w:trPr>
        <w:tc>
          <w:tcPr>
            <w:tcW w:w="172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其他检查</w:t>
            </w:r>
          </w:p>
        </w:tc>
        <w:tc>
          <w:tcPr>
            <w:tcW w:w="7441" w:type="dxa"/>
            <w:gridSpan w:val="2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After w:w="0" w:type="auto"/>
          <w:trHeight w:val="3708" w:hRule="atLeast"/>
          <w:jc w:val="center"/>
        </w:trPr>
        <w:tc>
          <w:tcPr>
            <w:tcW w:w="172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检查结论</w:t>
            </w:r>
          </w:p>
        </w:tc>
        <w:tc>
          <w:tcPr>
            <w:tcW w:w="4580" w:type="dxa"/>
            <w:gridSpan w:val="20"/>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认定学科建议：不宜认定体检标准中第二部分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第□□，□□，□□，□□，□□条所列相关学科。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体检结论：（1.合格，2.学科受限，3.不合格）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负责医师（签章）：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tc>
        <w:tc>
          <w:tcPr>
            <w:tcW w:w="286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体检医院盖章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i w:val="0"/>
                <w:iCs w:val="0"/>
                <w:caps w:val="0"/>
                <w:color w:val="000000"/>
                <w:spacing w:val="0"/>
                <w:kern w:val="0"/>
                <w:sz w:val="18"/>
                <w:szCs w:val="18"/>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 w:firstLine="0"/>
        <w:jc w:val="right"/>
        <w:rPr>
          <w:rFonts w:hint="eastAsia" w:ascii="微软雅黑" w:hAnsi="微软雅黑" w:eastAsia="微软雅黑" w:cs="微软雅黑"/>
          <w:i w:val="0"/>
          <w:iCs w:val="0"/>
          <w:caps w:val="0"/>
          <w:color w:val="444444"/>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4"/>
        <w:jc w:val="both"/>
        <w:rPr>
          <w:rFonts w:hint="eastAsia" w:ascii="微软雅黑" w:hAnsi="微软雅黑" w:eastAsia="微软雅黑" w:cs="微软雅黑"/>
          <w:i w:val="0"/>
          <w:iCs w:val="0"/>
          <w:caps w:val="0"/>
          <w:color w:val="444444"/>
          <w:spacing w:val="0"/>
          <w:sz w:val="24"/>
          <w:szCs w:val="24"/>
        </w:rPr>
      </w:pPr>
      <w:r>
        <w:rPr>
          <w:rFonts w:hint="default" w:ascii="Times New Roman" w:hAnsi="Times New Roman" w:eastAsia="微软雅黑" w:cs="Times New Roman"/>
          <w:i w:val="0"/>
          <w:iCs w:val="0"/>
          <w:caps w:val="0"/>
          <w:color w:val="000000"/>
          <w:spacing w:val="0"/>
          <w:kern w:val="0"/>
          <w:sz w:val="18"/>
          <w:szCs w:val="18"/>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体检在相应的教师资格认定机构指定的县级以上医院进行，并必须包括传染病和精神病史等项目。高等学校教师资格认定体检由拟聘任教学校统一组织在市州以上医院进行。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4"/>
        <w:jc w:val="both"/>
        <w:rPr>
          <w:rFonts w:hint="eastAsia" w:ascii="微软雅黑" w:hAnsi="微软雅黑" w:eastAsia="微软雅黑" w:cs="微软雅黑"/>
          <w:i w:val="0"/>
          <w:iCs w:val="0"/>
          <w:caps w:val="0"/>
          <w:color w:val="444444"/>
          <w:spacing w:val="0"/>
          <w:sz w:val="24"/>
          <w:szCs w:val="24"/>
        </w:rPr>
      </w:pPr>
      <w:r>
        <w:rPr>
          <w:rFonts w:hint="default" w:ascii="Times New Roman" w:hAnsi="Times New Roman" w:eastAsia="微软雅黑" w:cs="Times New Roman"/>
          <w:i w:val="0"/>
          <w:iCs w:val="0"/>
          <w:caps w:val="0"/>
          <w:color w:val="000000"/>
          <w:spacing w:val="0"/>
          <w:kern w:val="0"/>
          <w:sz w:val="18"/>
          <w:szCs w:val="1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体检标准参照《普通高等学校招生体检工作指导意见》（教学〔</w:t>
      </w:r>
      <w:r>
        <w:rPr>
          <w:rFonts w:hint="default" w:ascii="Times New Roman" w:hAnsi="Times New Roman" w:eastAsia="微软雅黑" w:cs="Times New Roman"/>
          <w:i w:val="0"/>
          <w:iCs w:val="0"/>
          <w:caps w:val="0"/>
          <w:color w:val="000000"/>
          <w:spacing w:val="0"/>
          <w:kern w:val="0"/>
          <w:sz w:val="18"/>
          <w:szCs w:val="18"/>
          <w:bdr w:val="none" w:color="auto" w:sz="0" w:space="0"/>
          <w:shd w:val="clear" w:fill="FFFFFF"/>
          <w:lang w:val="en-US" w:eastAsia="zh-CN" w:bidi="ar"/>
        </w:rPr>
        <w:t>2003</w:t>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号）和《教育部办公厅、卫生部办公厅关于普通高等学校招生学生入学身体检查取消乙肝项目检测有关问题的通知》（教学厅〔</w:t>
      </w:r>
      <w:r>
        <w:rPr>
          <w:rFonts w:hint="default" w:ascii="Times New Roman" w:hAnsi="Times New Roman" w:eastAsia="微软雅黑" w:cs="Times New Roman"/>
          <w:i w:val="0"/>
          <w:iCs w:val="0"/>
          <w:caps w:val="0"/>
          <w:color w:val="000000"/>
          <w:spacing w:val="0"/>
          <w:kern w:val="0"/>
          <w:sz w:val="18"/>
          <w:szCs w:val="18"/>
          <w:bdr w:val="none" w:color="auto" w:sz="0" w:space="0"/>
          <w:shd w:val="clear" w:fill="FFFFFF"/>
          <w:lang w:val="en-US" w:eastAsia="zh-CN" w:bidi="ar"/>
        </w:rPr>
        <w:t>2010</w:t>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号）的有关规定执行。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4"/>
        <w:jc w:val="both"/>
        <w:rPr>
          <w:rFonts w:hint="eastAsia" w:ascii="微软雅黑" w:hAnsi="微软雅黑" w:eastAsia="微软雅黑" w:cs="微软雅黑"/>
          <w:i w:val="0"/>
          <w:iCs w:val="0"/>
          <w:caps w:val="0"/>
          <w:color w:val="444444"/>
          <w:spacing w:val="0"/>
          <w:sz w:val="24"/>
          <w:szCs w:val="24"/>
        </w:rPr>
      </w:pPr>
      <w:r>
        <w:rPr>
          <w:rFonts w:hint="default" w:ascii="Times New Roman" w:hAnsi="Times New Roman" w:eastAsia="微软雅黑" w:cs="Times New Roman"/>
          <w:i w:val="0"/>
          <w:iCs w:val="0"/>
          <w:caps w:val="0"/>
          <w:color w:val="000000"/>
          <w:spacing w:val="0"/>
          <w:kern w:val="0"/>
          <w:sz w:val="18"/>
          <w:szCs w:val="18"/>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承担体检的医院应当根据上述标准，对被检人员做出合格、学科受限或不合格的结论。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444444"/>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444444"/>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444444"/>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444444"/>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444444"/>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附件2</w:t>
      </w: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邵阳市教育局高级中学（中等职业学校）教师资格认定体检须知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一、体检地点、体检时间：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邵阳学院附属第二医院预防保健科（2号楼7楼）：5月4日-6月30日（周一至周六上午8:00--10:00）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邵阳市疾病预防控制中心二楼健康监护科：5月4日-6月30日（周一至周五上午8:00--9:30）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二、体检项目及咨询电话：可以提前一天下午打电话预约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体检项目：病史采集、身高、体重、血压，内科，外科，五官科，口腔科，血生化（肝功能两项；空腹采血），心电图，胸部正位片（X线；孕妇禁做）；费用按照医院级别及物价标准收取。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体检预约及咨询电话: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邵阳学院附属第二医院：0739-5317589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邵阳市疾病预防控制中心：0739-5329523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b/>
          <w:bCs/>
          <w:i w:val="0"/>
          <w:iCs w:val="0"/>
          <w:caps w:val="0"/>
          <w:color w:val="444444"/>
          <w:spacing w:val="0"/>
          <w:kern w:val="0"/>
          <w:sz w:val="24"/>
          <w:szCs w:val="24"/>
          <w:bdr w:val="none" w:color="auto" w:sz="0" w:space="0"/>
          <w:shd w:val="clear" w:fill="FFFFFF"/>
          <w:lang w:val="en-US" w:eastAsia="zh-CN" w:bidi="ar"/>
        </w:rPr>
        <w:t>三、体检前须知：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1.携带身份证及一寸照片前来体检。严禁受检者弄虚作假，冒名顶替，如隐瞒病史，导致影响体检结果的，后果自负。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2.体检前3天应注意休息，忌过度劳累，剧烈运动，保证充足睡眠；忌高脂肪、高蛋白饮食，忌大量饮酒、咖啡；避免使用对肝功能影响的药物；已服药物，应向医师说明。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3.体检前1天晚上禁吃宵夜；体检当日早晨请空腹（不吃早餐不喝水），抽血项目必须空腹进行。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4.体检当日着装宽松，易于暴露体检部位，女士不宜化妆、穿连衣裙、连裤袜等。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5.怀孕者禁止做X光胸正位片检查，须在产后进行补检。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6.做X线检查时，请穿棉布内衣，勿穿带有金属纽扣的衣服、文胸，不宜戴项链、玉佩等；请摘去手机、钢笔、钥匙等金属物品，以免造成检查误差。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7.请配合医生认真检查所有项目，勿漏检，所有检查项目不能弃检，否则视为自动放弃本次教师资格认定。体检结束后，请核查体检信息无误无缺项，将体检表填写完整签字后交至前台。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8.体检结果将由医院统一密封送</w:t>
      </w:r>
      <w:bookmarkStart w:id="0" w:name="_GoBack"/>
      <w:bookmarkEnd w:id="0"/>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往教育局，无需个人领取。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9.异常结果需要复查或进一步检查的情况会电话通知体检者本人，请保持电话畅通。</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4ADF6C13"/>
    <w:rsid w:val="4ADF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2023-04-27T02:49:00Z</dcterms:created>
  <dc:creator>빅뱅</dc:creator>
  <cp:lastModifiedBy>빅뱅</cp:lastModifiedBy>
  <dcterms:modified xsi:type="dcterms:W3CDTF">2023-04-27T02:55:24Z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24AD6D0F6B594452896EF30E5B333305_11</vt:lpwstr>
  </property>
</Properties>
</file>